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E8" w:rsidRPr="00AD26E8" w:rsidRDefault="00AD26E8" w:rsidP="00AD2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тветственность по статье 205 УК РФ - террористический акт</w:t>
      </w:r>
    </w:p>
    <w:p w:rsidR="00AD26E8" w:rsidRDefault="00AD26E8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AD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С 11.01.2018 года диспозиция части 1 статьи 205 Уголовного кодекса Российской Федерации, регламентирующая ответственность за совершение акта терроризма либо угрозу его совершения, изложена в новой редакции.</w:t>
      </w:r>
    </w:p>
    <w:p w:rsidR="00AD26E8" w:rsidRPr="00AD26E8" w:rsidRDefault="00AD26E8" w:rsidP="00AD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 ч. 1 ст. 205 УК РФ лишением свободы от 10 до 15 лет наказывается совершение взрыва, поджога или </w:t>
      </w:r>
      <w:hyperlink r:id="rId4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иных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действий, </w:t>
      </w:r>
      <w:hyperlink r:id="rId5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устрашающих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население и </w:t>
      </w:r>
      <w:hyperlink r:id="rId6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создающих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7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угроза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совершения указанных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действий в целях воздействия на принятие решений органами власти или международными организациями.</w:t>
      </w:r>
    </w:p>
    <w:p w:rsidR="00AD26E8" w:rsidRPr="00AD26E8" w:rsidRDefault="00AD26E8" w:rsidP="00AD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Если преступное деяние совершено группой лиц по предварительному сговору или </w:t>
      </w:r>
      <w:hyperlink r:id="rId8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 xml:space="preserve">организованной </w:t>
        </w:r>
        <w:proofErr w:type="gramStart"/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группой</w:t>
        </w:r>
        <w:proofErr w:type="gramEnd"/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либо повлекло по неосторожности смерть человека или причинение </w:t>
      </w:r>
      <w:hyperlink r:id="rId9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значительного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ущерба,  наступление </w:t>
      </w:r>
      <w:hyperlink r:id="rId10" w:history="1">
        <w:r w:rsidRPr="00B26B5A">
          <w:rPr>
            <w:rFonts w:ascii="Times New Roman" w:eastAsia="Times New Roman" w:hAnsi="Times New Roman" w:cs="Times New Roman"/>
            <w:sz w:val="28"/>
            <w:szCs w:val="28"/>
          </w:rPr>
          <w:t>иных</w:t>
        </w:r>
      </w:hyperlink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тяжких последствий, законодателем предусмотрена ответственность в виде лишения свободы на срок до 20 лет с обязательным назначением дополнительного наказания в виде ограничения свободы на срок до 2 лет.</w:t>
      </w:r>
    </w:p>
    <w:p w:rsidR="00AD26E8" w:rsidRDefault="00AD26E8" w:rsidP="00AD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  Если преступление сопряжено с посягательством на объекты использования атомной </w:t>
      </w: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энергии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либо с использованием ядерных материалов, радиоактивных веществ или источников радиоактивного излучения, ядовитых, отравляющих, токсичных, опасных химических или биологических веществ, либо  </w:t>
      </w: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повлекло умышленное причинение смерти человеку виновному лицу может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быть назначено наказание вплоть до пожизненного лишения свободы.</w:t>
      </w:r>
    </w:p>
    <w:p w:rsidR="00AD26E8" w:rsidRDefault="00AD26E8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B26B5A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</w:t>
      </w:r>
      <w:r w:rsidR="00AD26E8"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тветственность по статье 245 УК РФ - жестокое обращение с животными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С 31.12.2017 года статья 245 Уголовного кодекса Российской Федерации, регламентирующая ответственность за жестокое обращение с животными, изложена и применяется в новой редакции.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Диспозицией статьи в качестве преступного деяния определено 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Законодателем за совершение таких преступлений предусмотрена ответственность по части 1 статьи в виде штрафа в размере до 80 тысяч рублей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на срок до 6 месяцев, либо лишением свободы на срок до 3-х лет.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По части 2 статьи квалифицируются преступные деяния, если они совершены группой лиц, группой лиц по предварительному сговору или организованной группой,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 (включая сеть "Интернет") или в отношении нескольких животных. Санкцией статьи предусмотрена более строгая ответственность за совершение таких деяний, вплоть до 5 лет лишения свободы.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Предоставлены ли инвалидам льготы по ОСАГО?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Страхование автогражданской ответственности в Российской Федерации носит обязательный характер для всех владельцев автотранспорта. Документом, который подтверждает наличие вышеуказанной страховки, является страховой полис ОСАГО. </w:t>
      </w: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В соответствии со ст.1 Федерального закона от 25.04.2002 №40-ФЗ «Об обязательном страховании гражданской ответственности владельцев транспортных средств» договор обязательного страхования гражданской ответственности владельцев транспортных средств -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страховое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возмещение в форме страховой выплаты или путем организации и (или) оплаты восстановительного ремонта поврежденного транспортного средства) в пределах определенной договором суммы (страховой суммы).</w:t>
      </w:r>
    </w:p>
    <w:p w:rsidR="00AD26E8" w:rsidRPr="00AD26E8" w:rsidRDefault="00AD26E8" w:rsidP="00B26B5A">
      <w:pPr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Как предусмотрено ст. 17 Федерального закона от 25.04.2002 №40-ФЗ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страхования.</w:t>
      </w:r>
    </w:p>
    <w:p w:rsidR="00AD26E8" w:rsidRPr="00AD26E8" w:rsidRDefault="00AD26E8" w:rsidP="00B26B5A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1C36D6" w:rsidRDefault="001C36D6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Внесены изменения в статьи 242 и 243 ТК РФ</w:t>
      </w:r>
    </w:p>
    <w:p w:rsidR="00B26B5A" w:rsidRDefault="00B26B5A" w:rsidP="00AD26E8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27.11.2017 № 359-ФЗ в целях унификации понятий законодателем внесены изменения в статьи 242 и 243 Трудового кодекса РФ, регламентирующие порядок и случаи полной материальной ответственности работника.</w:t>
      </w:r>
    </w:p>
    <w:p w:rsidR="00AD26E8" w:rsidRPr="00AD26E8" w:rsidRDefault="00AD26E8" w:rsidP="00B26B5A">
      <w:pPr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Определено, что основанием для возложения на работника полной материальной ответственности является причинение ущерба в результате административного правонарушения.</w:t>
      </w:r>
    </w:p>
    <w:p w:rsidR="00B26B5A" w:rsidRDefault="00AD26E8" w:rsidP="00B26B5A">
      <w:pPr>
        <w:spacing w:after="0" w:line="240" w:lineRule="auto"/>
        <w:ind w:left="1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Ранее   Трудовой   кодекс   РФ   оперировал   понятием   «административный проступок», который не соответствовал терминологии, принятой в </w:t>
      </w:r>
      <w:proofErr w:type="spellStart"/>
      <w:r w:rsidRPr="00AD26E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AD26E8" w:rsidRPr="00AD26E8" w:rsidRDefault="00AD26E8" w:rsidP="00B26B5A">
      <w:pPr>
        <w:spacing w:after="0" w:line="240" w:lineRule="auto"/>
        <w:ind w:left="1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08.12.2017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Разъясняем изменения законодательства об электроэнергетике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  от 29.12.2017 N 451-ФЗ внесены изменения в действующее законодательство об электроэнергетике. Нововведения связаны с лицензированием </w:t>
      </w:r>
      <w:proofErr w:type="spellStart"/>
      <w:r w:rsidRPr="00AD26E8">
        <w:rPr>
          <w:rFonts w:ascii="Times New Roman" w:eastAsia="Times New Roman" w:hAnsi="Times New Roman" w:cs="Times New Roman"/>
          <w:sz w:val="28"/>
          <w:szCs w:val="28"/>
        </w:rPr>
        <w:t>энергосбытовой</w:t>
      </w:r>
      <w:proofErr w:type="spell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Так, на энергетическом рынке введен новый лицензируемый вид деятельности - </w:t>
      </w:r>
      <w:proofErr w:type="spellStart"/>
      <w:r w:rsidRPr="00AD26E8">
        <w:rPr>
          <w:rFonts w:ascii="Times New Roman" w:eastAsia="Times New Roman" w:hAnsi="Times New Roman" w:cs="Times New Roman"/>
          <w:sz w:val="28"/>
          <w:szCs w:val="28"/>
        </w:rPr>
        <w:t>энергосбытовая</w:t>
      </w:r>
      <w:proofErr w:type="spell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Законодателем регламентировано, что под ней  понимается деятельность по продаже произведенной и (или) приобретенной электрической энергии, осуществляемая на розничных рынках в пределах Единой энергетической системы России и на территориях, технологическое соединение которых с Единой энергетической системой России отсутствует.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Также законодательно закреплены положения о ведении федерального реестра лицензий, порядке организации и осуществления лицензионного контроля, прекращения действия лицензии.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Кроме того внесены изменения в Кодекс Российской Федерации об административных правонарушениях" от 30.12.2001 N 195-ФЗ. Он, в частности, дополнен новой статьей 14.1.4. «Осуществление </w:t>
      </w:r>
      <w:proofErr w:type="spellStart"/>
      <w:r w:rsidRPr="00AD26E8">
        <w:rPr>
          <w:rFonts w:ascii="Times New Roman" w:eastAsia="Times New Roman" w:hAnsi="Times New Roman" w:cs="Times New Roman"/>
          <w:sz w:val="28"/>
          <w:szCs w:val="28"/>
        </w:rPr>
        <w:t>энергосбытовой</w:t>
      </w:r>
      <w:proofErr w:type="spell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нарушением лицензионных требований или без лицензии».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законную силу, за исключением вводимых норм об административной ответственности, которые вступят в силу по истечении 365 дней со дня официального опубликования, которое состоялось 29.12.17.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Разъясняем изменения законодательства об обороте земель с</w:t>
      </w:r>
      <w:r w:rsidR="00B26B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ельскохозяйственного назначения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Законодателем внесены изменения в Федеральный закон «Об обороте земель сельскохозяйственного назначения». Они направлены на оптимизацию механизма управления участками, находящимися в общей долевой собственности.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Так, в соответствии с требованиями части 10 статьи 14.1 Федерального закона «Об обороте земель сельскохозяйственного назначения» определено, что уполномоченное должностное лицо органа местного самоуправления поселения или городского округа по месту расположения земельного участка, находящегося в общей долевой собственности, участвует в организации и проведении общего собрания, в том числе: осуществляет проверку надлежащего извещения участников долевой собственности о проведении общего собрания и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соответствия повестки дня общего собрания требованиям настоящего Федерального закона; удостоверяет полномочия присутствующих на собрании лиц; председательствует при открытии и ведении общего собрания, если иной председатель не будет избран; обеспечивает соблюдение требований настоящего Федерального закона к порядку проведения общего собрания; разъясняет участникам долевой собственности их права и обязанности при проведении общего собрания;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протокол общего собрания; участвует в обсуждении вопросов с правом совещательного голоса.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Новым законом дополнительно регламентированы сроки уведомления органом местного самоуправления участников общей долевой собственности о проведении общего собрания; ограничения по включению ряда вопросов в повестку дня общего собрания; введен запрет на принятие общим собранием решений по вопросам, не включенным в повестку дня общего собрания; с 20% до 50% от общего числа участников долевой собственности увеличен кворум общего собрания;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правила проведения повторного общего собрания участников общей долевой собственности при признании первоначального общего собрания </w:t>
      </w: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Кроме того установлено, что орган местного самоуправления поселения или городского округа по месту расположения земельного участка, находящегося в общей долевой собственности, размещает протокол общего собрания на своем официальном сайте в сети «Интернет» (при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общего собрания.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Pr="001C36D6" w:rsidRDefault="00B26B5A" w:rsidP="00AD26E8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D26E8" w:rsidRPr="00B26B5A" w:rsidRDefault="00AD26E8" w:rsidP="00B26B5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26B5A">
        <w:rPr>
          <w:rStyle w:val="a5"/>
          <w:b/>
          <w:bCs/>
          <w:i w:val="0"/>
          <w:sz w:val="28"/>
          <w:szCs w:val="28"/>
        </w:rPr>
        <w:lastRenderedPageBreak/>
        <w:t>Предусмотрена ли ответственность за предъявление в судебном заседании по гражданскому делу сфальсифицированных доказательств, и что к данным доказательствам можно отнести?</w:t>
      </w:r>
    </w:p>
    <w:p w:rsidR="00AD26E8" w:rsidRPr="00AD26E8" w:rsidRDefault="00AD26E8" w:rsidP="00AD2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26E8">
        <w:rPr>
          <w:sz w:val="28"/>
          <w:szCs w:val="28"/>
        </w:rPr>
        <w:t> 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 xml:space="preserve">За фальсификацию доказательств по гражданскому, административному делу лицом, участвующим в деле, или его представителем, предусмотрена уголовная ответственность по </w:t>
      </w:r>
      <w:proofErr w:type="gramStart"/>
      <w:r w:rsidRPr="00B26B5A">
        <w:rPr>
          <w:sz w:val="28"/>
          <w:szCs w:val="28"/>
        </w:rPr>
        <w:t>ч</w:t>
      </w:r>
      <w:proofErr w:type="gramEnd"/>
      <w:r w:rsidRPr="00B26B5A">
        <w:rPr>
          <w:sz w:val="28"/>
          <w:szCs w:val="28"/>
        </w:rPr>
        <w:t>. 1 ст. 303 Уголовного кодекса Российской Федерации.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 xml:space="preserve">Согласно </w:t>
      </w:r>
      <w:hyperlink r:id="rId11" w:history="1">
        <w:r w:rsidRPr="00B26B5A">
          <w:rPr>
            <w:rStyle w:val="a4"/>
            <w:color w:val="auto"/>
            <w:sz w:val="28"/>
            <w:szCs w:val="28"/>
            <w:u w:val="none"/>
          </w:rPr>
          <w:t>ст. 55</w:t>
        </w:r>
      </w:hyperlink>
      <w:r w:rsidRPr="00B26B5A">
        <w:rPr>
          <w:sz w:val="28"/>
          <w:szCs w:val="28"/>
        </w:rPr>
        <w:t xml:space="preserve"> ГПК РФ, ст. 64 АПК РФ доказательствами по делу являются полученные в предусмотренном законом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 В качестве доказательств допускаются письменные и вещественные доказательства, объяснения лиц, участвующих в деле, заключения экспертов, показания свидетелей, аудио- и видеозаписи, иные документы и материалы. Не допускается использование доказательств, полученных с нарушением федерального закона.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 xml:space="preserve">Способы фальсификации могут быть самыми разнообразными. </w:t>
      </w:r>
      <w:proofErr w:type="gramStart"/>
      <w:r w:rsidRPr="00B26B5A">
        <w:rPr>
          <w:sz w:val="28"/>
          <w:szCs w:val="28"/>
        </w:rPr>
        <w:t>Применительно к рассматриваемому деянию фальсификация заключается в сознательном искажении представляемых доказательств, например документов (доверенностей, расписок, договоров, актов ревизий, протоколов следственных действий и т.д.), путем их подделки, подчистки, внесения исправлений, искажающих действительный смысл, или ложных сведений, т.е. искусственном создании доказательств в пользу истца или ответчика (подлог документов, уничтожение или сокрытие улик), создании искусственных (ложных) вещественных доказательств и т.д.</w:t>
      </w:r>
      <w:proofErr w:type="gramEnd"/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За совершение указанного преступления предусмотрено наказание в виде: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- штрафа в размере от 100 000 до 300 000 тысяч рублей или в размере заработной платы или иного дохода, осужденного за период от одного года до двух лет;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- обязательных работ на срок до 480 часов;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- исправительных работ на срок до 2-х лет;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- ареста на срок до 4 месяцев.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 xml:space="preserve">Для состава преступления, предусмотренного </w:t>
      </w:r>
      <w:hyperlink r:id="rId12" w:history="1">
        <w:proofErr w:type="gramStart"/>
        <w:r w:rsidRPr="00B26B5A">
          <w:rPr>
            <w:rStyle w:val="a4"/>
            <w:color w:val="auto"/>
            <w:sz w:val="28"/>
            <w:szCs w:val="28"/>
            <w:u w:val="none"/>
          </w:rPr>
          <w:t>ч</w:t>
        </w:r>
        <w:proofErr w:type="gramEnd"/>
        <w:r w:rsidRPr="00B26B5A">
          <w:rPr>
            <w:rStyle w:val="a4"/>
            <w:color w:val="auto"/>
            <w:sz w:val="28"/>
            <w:szCs w:val="28"/>
            <w:u w:val="none"/>
          </w:rPr>
          <w:t>. 1 ст. 303</w:t>
        </w:r>
      </w:hyperlink>
      <w:r w:rsidRPr="00B26B5A">
        <w:rPr>
          <w:sz w:val="28"/>
          <w:szCs w:val="28"/>
        </w:rPr>
        <w:t xml:space="preserve"> УК РФ, не имеет значения, повлияли ли сфальсифицированные доказательства на содержание судебного решения или нет. Фальсификация доказательств является преступлением с формальным составом. Данное преступление считается оконченным с момента приобщения фальсифицированных доказательств к материалам дела в порядке, установленном процессуальным законодательством.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AD26E8" w:rsidRDefault="00AD26E8" w:rsidP="00B26B5A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D26E8">
        <w:rPr>
          <w:rStyle w:val="a6"/>
          <w:sz w:val="28"/>
          <w:szCs w:val="28"/>
        </w:rPr>
        <w:lastRenderedPageBreak/>
        <w:t>Разъясняем изменения законодательства об организации предоставления государственных и муниципальных услуг</w:t>
      </w:r>
    </w:p>
    <w:p w:rsidR="00B26B5A" w:rsidRPr="00AD26E8" w:rsidRDefault="00B26B5A" w:rsidP="00AD2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 xml:space="preserve">29.12.2017 принят Федеральный </w:t>
      </w:r>
      <w:hyperlink r:id="rId13" w:history="1">
        <w:r w:rsidRPr="00B26B5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B26B5A">
        <w:rPr>
          <w:sz w:val="28"/>
          <w:szCs w:val="28"/>
        </w:rPr>
        <w:t xml:space="preserve"> № 479-ФЗ «О внесении изменений в Федеральный закон «Об организации предоставления государственных и муниципальных услуг».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Законом регламентируется возможность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Согласно новому Закону в многофункциональных центрах (далее – МФЦ) начнут предоставлять государственные и муниципальные услуги по единому запросу.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Вводится понятие комплексного запроса о предоставлении государственных или муниципальных услуг. Предусматривается, что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услуг на основании комплексного запроса.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26B5A">
        <w:rPr>
          <w:sz w:val="28"/>
          <w:szCs w:val="28"/>
        </w:rPr>
        <w:t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государственных и (или</w:t>
      </w:r>
      <w:proofErr w:type="gramEnd"/>
      <w:r w:rsidRPr="00B26B5A">
        <w:rPr>
          <w:sz w:val="28"/>
          <w:szCs w:val="28"/>
        </w:rPr>
        <w:t>) муниципальных услуг, с приложением заверенной МФЦ копии комплексного запроса.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При приеме комплексного запроса у заявителя работники МФЦ обязаны его проинформировать обо всех государственных и (или) муниципальных услугах, которые являются необходимыми и обязательными для предоставления государственных и муниципальных услуг, указанных в комплексном запросе.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Изменения вступ</w:t>
      </w:r>
      <w:r w:rsidR="00B26B5A">
        <w:rPr>
          <w:sz w:val="28"/>
          <w:szCs w:val="28"/>
        </w:rPr>
        <w:t>ают</w:t>
      </w:r>
      <w:r w:rsidRPr="00B26B5A">
        <w:rPr>
          <w:sz w:val="28"/>
          <w:szCs w:val="28"/>
        </w:rPr>
        <w:t xml:space="preserve"> в силу  30.03.2018.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AD26E8" w:rsidRPr="00B26B5A" w:rsidRDefault="00AD26E8" w:rsidP="00B26B5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B26B5A">
        <w:rPr>
          <w:rStyle w:val="a5"/>
          <w:b/>
          <w:i w:val="0"/>
          <w:sz w:val="28"/>
          <w:szCs w:val="28"/>
        </w:rPr>
        <w:lastRenderedPageBreak/>
        <w:t>Возможно</w:t>
      </w:r>
      <w:proofErr w:type="gramEnd"/>
      <w:r w:rsidRPr="00B26B5A">
        <w:rPr>
          <w:rStyle w:val="a5"/>
          <w:b/>
          <w:i w:val="0"/>
          <w:sz w:val="28"/>
          <w:szCs w:val="28"/>
        </w:rPr>
        <w:t xml:space="preserve"> ли использовать средства материнского капитала на приобретение товаров и услуг, предназначенных для социальной адаптации и интеграции в общество детей-инвалидов?</w:t>
      </w:r>
    </w:p>
    <w:p w:rsidR="00B26B5A" w:rsidRDefault="00B26B5A" w:rsidP="00AD2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26B5A">
        <w:rPr>
          <w:sz w:val="28"/>
          <w:szCs w:val="28"/>
        </w:rPr>
        <w:t>В соответствии со ст. 2 Федерального закона от 24.11.1995 № 181-ФЗ «О социальной защите инвалидов в Российской Федерации» (далее – Федеральный закон № 181-ФЗ) социальной защитой инвалидов признается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sz w:val="28"/>
          <w:szCs w:val="28"/>
        </w:rPr>
        <w:t>Федеральным законом от 28.12.2017 № 432-ФЗ предусмотрено использование материнского капитала, в том числе  для приобретения товаров и услуг, предназначенных для социальной адаптации и интеграции в общество детей-инвалидов. Для этого требуется наличие в индивидуальной программе реабилитации ребенка-инвалида рекомендации на приобретение и использование таких товаров и услуг.</w:t>
      </w:r>
    </w:p>
    <w:p w:rsidR="00AD26E8" w:rsidRPr="00B26B5A" w:rsidRDefault="00AD26E8" w:rsidP="00B26B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6B5A">
        <w:rPr>
          <w:rStyle w:val="a6"/>
          <w:b w:val="0"/>
          <w:sz w:val="28"/>
          <w:szCs w:val="28"/>
        </w:rPr>
        <w:t>Постановлением Правительства РФ от 24.01.2018 № 60 «О внесении изменений в Правила признания лица инвалидом» внесены изменения в правила признания лица инвалидом</w:t>
      </w:r>
      <w:r w:rsidRPr="00B26B5A">
        <w:rPr>
          <w:sz w:val="28"/>
          <w:szCs w:val="28"/>
        </w:rPr>
        <w:t>. Указанными Правилами установлен упрощенный порядок замены индивидуальной программы реабилитации ребенка-инвалида. Так, для перехода на новую программу с включением в нее рекомендаций на приобретение и использование таких товаров не требуется оформление нового направления на медико-социальную экспертизу. Достаточно справки, выданной медицинской организацией.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6B5A" w:rsidRDefault="00B26B5A" w:rsidP="00AD2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Разъясняем изменения законодательства в Градостроитель</w:t>
      </w:r>
      <w:r w:rsidR="00B26B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ный кодекс Российской Федерации</w:t>
      </w:r>
    </w:p>
    <w:p w:rsidR="00B26B5A" w:rsidRDefault="00B26B5A" w:rsidP="00A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N 455-ФЗ внесены изменения в Градостроительный кодекс Российской Федерации. Нововведения направлены на законодательное закрепление учета общественного мнения при принятии решений по основным вопросам, касающимся застройки территории муниципальных образований.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6E8">
        <w:rPr>
          <w:rFonts w:ascii="Times New Roman" w:eastAsia="Times New Roman" w:hAnsi="Times New Roman" w:cs="Times New Roman"/>
          <w:sz w:val="28"/>
          <w:szCs w:val="28"/>
        </w:rPr>
        <w:t>Глава 1 кодекса дополнена новой статьей 5.1, в соответствии с которой законодательно закреплено, что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правил землепользования и застройки, планировки территории, межевания территории, правил благоустройства территорий, проектам решений о предоставлении разрешения на условно разрешенный вид использования земельного</w:t>
      </w:r>
      <w:proofErr w:type="gramEnd"/>
      <w:r w:rsidRPr="00AD26E8">
        <w:rPr>
          <w:rFonts w:ascii="Times New Roman" w:eastAsia="Times New Roman" w:hAnsi="Times New Roman" w:cs="Times New Roman"/>
          <w:sz w:val="28"/>
          <w:szCs w:val="28"/>
        </w:rPr>
        <w:t xml:space="preserve">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  должны проводиться общественные обсуждения или публичные слушания.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Законом также регламентированы случаи и порядок проведения общественных обсуждений и публичных слушаний; требования к официальному сайту (информационной системе) в сети "Интернет", на котором размещается проект, и по которому проводятся публичные слушания или общественное обсуждение; обязанности организатора общественного обсуждения или публичных слушаний.</w:t>
      </w:r>
    </w:p>
    <w:p w:rsidR="00AD26E8" w:rsidRPr="00AD26E8" w:rsidRDefault="00AD26E8" w:rsidP="00B2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E8">
        <w:rPr>
          <w:rFonts w:ascii="Times New Roman" w:eastAsia="Times New Roman" w:hAnsi="Times New Roman" w:cs="Times New Roman"/>
          <w:sz w:val="28"/>
          <w:szCs w:val="28"/>
        </w:rPr>
        <w:t>Изменения вступили в силу 29.12.17.</w:t>
      </w:r>
    </w:p>
    <w:p w:rsidR="00392562" w:rsidRDefault="00392562" w:rsidP="00AD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D6" w:rsidRDefault="001C36D6" w:rsidP="001C36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  Т.М.Макаренко</w:t>
      </w:r>
    </w:p>
    <w:p w:rsidR="001C36D6" w:rsidRPr="00AD26E8" w:rsidRDefault="001C36D6" w:rsidP="00AD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6D6" w:rsidRPr="00AD26E8" w:rsidSect="00B26B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6E8"/>
    <w:rsid w:val="001C36D6"/>
    <w:rsid w:val="00392562"/>
    <w:rsid w:val="00AD26E8"/>
    <w:rsid w:val="00B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2"/>
  </w:style>
  <w:style w:type="paragraph" w:styleId="1">
    <w:name w:val="heading 1"/>
    <w:basedOn w:val="a"/>
    <w:link w:val="10"/>
    <w:uiPriority w:val="9"/>
    <w:qFormat/>
    <w:rsid w:val="00AD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26E8"/>
    <w:rPr>
      <w:color w:val="0000FF"/>
      <w:u w:val="single"/>
    </w:rPr>
  </w:style>
  <w:style w:type="character" w:styleId="a5">
    <w:name w:val="Emphasis"/>
    <w:basedOn w:val="a0"/>
    <w:uiPriority w:val="20"/>
    <w:qFormat/>
    <w:rsid w:val="00AD26E8"/>
    <w:rPr>
      <w:i/>
      <w:iCs/>
    </w:rPr>
  </w:style>
  <w:style w:type="character" w:styleId="a6">
    <w:name w:val="Strong"/>
    <w:basedOn w:val="a0"/>
    <w:uiPriority w:val="22"/>
    <w:qFormat/>
    <w:rsid w:val="00AD2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56E581AF0B8AE04D5738ABA93E1FC27BDE5C231909A7F52A5537127C4F3FF80B777FCF9C0527sBnDK" TargetMode="External"/><Relationship Id="rId13" Type="http://schemas.openxmlformats.org/officeDocument/2006/relationships/hyperlink" Target="consultantplus://offline/ref=51E60D6C6433DC81522BB234D72D2A773023CEFDEE8AADAA88239C84467DG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056E581AF0B8AE04D5738ABA93E1FC27BDE5C231909A7F52A5537127C4F3FF80B777FCF9C0527sBn3K" TargetMode="External"/><Relationship Id="rId12" Type="http://schemas.openxmlformats.org/officeDocument/2006/relationships/hyperlink" Target="consultantplus://offline/ref=5AE148C5FC2B7377579C0A97B83AFC3B2D9A7B3D6D06F48AE6C945B321AB1DFF817A27956160D5F10Er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56E581AF0B8AE04D5738ABA93E1FC27BDE5C231909A7F52A5537127C4F3FF80B777FCF9C0527sBn1K" TargetMode="External"/><Relationship Id="rId11" Type="http://schemas.openxmlformats.org/officeDocument/2006/relationships/hyperlink" Target="consultantplus://offline/ref=EDC435941408D5885A9C0483FE692D98712383A13FE6C1393CB674CA844DE09899C3183A8DC3BF84v8qCF" TargetMode="External"/><Relationship Id="rId5" Type="http://schemas.openxmlformats.org/officeDocument/2006/relationships/hyperlink" Target="consultantplus://offline/ref=329056E581AF0B8AE04D5738ABA93E1FC27BDE5C231909A7F52A5537127C4F3FF80B777FCF9C0527sBn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056E581AF0B8AE04D5738ABA93E1FC27BDE5C231909A7F52A5537127C4F3FF80B777FCF9C0524sBn7K" TargetMode="External"/><Relationship Id="rId4" Type="http://schemas.openxmlformats.org/officeDocument/2006/relationships/hyperlink" Target="consultantplus://offline/ref=329056E581AF0B8AE04D5738ABA93E1FC27BDE5C231909A7F52A5537127C4F3FF80B777FCF9C0527sBn2K" TargetMode="External"/><Relationship Id="rId9" Type="http://schemas.openxmlformats.org/officeDocument/2006/relationships/hyperlink" Target="consultantplus://offline/ref=329056E581AF0B8AE04D5738ABA93E1FC27BDE5C231909A7F52A5537127C4F3FF80B777FCF9C0524sBn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2018-03-28T06:39:00Z</cp:lastPrinted>
  <dcterms:created xsi:type="dcterms:W3CDTF">2018-03-28T06:20:00Z</dcterms:created>
  <dcterms:modified xsi:type="dcterms:W3CDTF">2018-03-28T06:40:00Z</dcterms:modified>
</cp:coreProperties>
</file>